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196B66" w14:textId="188A082D" w:rsidR="00D34CDD" w:rsidRPr="00D0399F" w:rsidRDefault="00D34CDD" w:rsidP="00D34CDD">
      <w:pPr>
        <w:pStyle w:val="3GPPHeader"/>
        <w:spacing w:after="60"/>
        <w:rPr>
          <w:rFonts w:cs="Arial"/>
          <w:sz w:val="32"/>
          <w:szCs w:val="32"/>
          <w:highlight w:val="yellow"/>
          <w:lang w:val="en-US"/>
        </w:rPr>
      </w:pPr>
      <w:bookmarkStart w:id="0" w:name="_GoBack"/>
      <w:bookmarkEnd w:id="0"/>
      <w:r w:rsidRPr="00023A63">
        <w:rPr>
          <w:rFonts w:cs="Arial"/>
        </w:rPr>
        <w:t>3GPP TSG-RAN WG2 #99</w:t>
      </w:r>
      <w:r w:rsidR="00E27579" w:rsidRPr="00023A63">
        <w:rPr>
          <w:rFonts w:cs="Arial"/>
        </w:rPr>
        <w:t>bis</w:t>
      </w:r>
      <w:r w:rsidRPr="00023A63">
        <w:rPr>
          <w:rFonts w:cs="Arial"/>
        </w:rPr>
        <w:tab/>
      </w:r>
      <w:r w:rsidR="00F8704C" w:rsidRPr="00F61A56">
        <w:rPr>
          <w:rFonts w:cs="Arial"/>
          <w:sz w:val="28"/>
          <w:szCs w:val="32"/>
        </w:rPr>
        <w:t>R2-17</w:t>
      </w:r>
      <w:r w:rsidR="00F61A56" w:rsidRPr="00F61A56">
        <w:rPr>
          <w:rFonts w:cs="Arial"/>
          <w:sz w:val="28"/>
          <w:szCs w:val="32"/>
        </w:rPr>
        <w:t>11372</w:t>
      </w:r>
    </w:p>
    <w:p w14:paraId="42214AD1" w14:textId="429B11E4" w:rsidR="00D34CDD" w:rsidRPr="00023A63" w:rsidRDefault="00E27579" w:rsidP="00D34CDD">
      <w:pPr>
        <w:pStyle w:val="3GPPHeader"/>
        <w:spacing w:after="60"/>
        <w:rPr>
          <w:rFonts w:cs="Arial"/>
        </w:rPr>
      </w:pPr>
      <w:r w:rsidRPr="00023A63">
        <w:rPr>
          <w:rFonts w:cs="Arial"/>
        </w:rPr>
        <w:t>Prague</w:t>
      </w:r>
      <w:r w:rsidR="00D34CDD" w:rsidRPr="00023A63">
        <w:rPr>
          <w:rFonts w:cs="Arial"/>
        </w:rPr>
        <w:t xml:space="preserve">, </w:t>
      </w:r>
      <w:r w:rsidRPr="00023A63">
        <w:rPr>
          <w:rFonts w:cs="Arial"/>
        </w:rPr>
        <w:t>Czech Republic</w:t>
      </w:r>
      <w:r w:rsidR="00D34CDD" w:rsidRPr="00023A63">
        <w:rPr>
          <w:rFonts w:cs="Arial"/>
        </w:rPr>
        <w:t xml:space="preserve">, </w:t>
      </w:r>
      <w:r w:rsidRPr="00023A63">
        <w:rPr>
          <w:rFonts w:cs="Arial"/>
        </w:rPr>
        <w:t xml:space="preserve">9 – 13 October </w:t>
      </w:r>
      <w:r w:rsidR="00D34CDD" w:rsidRPr="00023A63">
        <w:rPr>
          <w:rFonts w:cs="Arial"/>
        </w:rPr>
        <w:t>2017</w:t>
      </w:r>
      <w:r w:rsidR="00D34CDD" w:rsidRPr="00023A63">
        <w:rPr>
          <w:rFonts w:cs="Arial"/>
        </w:rPr>
        <w:tab/>
      </w:r>
    </w:p>
    <w:p w14:paraId="42175BF7" w14:textId="551E44C4" w:rsidR="00F82BC4" w:rsidRPr="00023A63" w:rsidRDefault="00F82BC4" w:rsidP="00F82BC4">
      <w:pPr>
        <w:pStyle w:val="3GPPHeader"/>
        <w:rPr>
          <w:rFonts w:cs="Arial"/>
        </w:rPr>
      </w:pPr>
    </w:p>
    <w:p w14:paraId="3B3DE2EE" w14:textId="77777777" w:rsidR="00D06E22" w:rsidRPr="00023A63" w:rsidRDefault="00D06E22" w:rsidP="00D06E22">
      <w:pPr>
        <w:pStyle w:val="3GPPHeader"/>
        <w:rPr>
          <w:rFonts w:cs="Arial"/>
        </w:rPr>
      </w:pPr>
    </w:p>
    <w:p w14:paraId="4A4F422A" w14:textId="6246CBA0" w:rsidR="00E90E49" w:rsidRPr="00023A63" w:rsidRDefault="00E90E49" w:rsidP="00D0399F">
      <w:pPr>
        <w:pStyle w:val="3GPPHeader"/>
        <w:rPr>
          <w:rFonts w:cs="Arial"/>
          <w:sz w:val="22"/>
          <w:szCs w:val="22"/>
          <w:lang w:val="en-US"/>
        </w:rPr>
      </w:pPr>
      <w:r w:rsidRPr="00023A63">
        <w:rPr>
          <w:rFonts w:cs="Arial"/>
          <w:sz w:val="22"/>
          <w:szCs w:val="22"/>
          <w:lang w:val="en-US"/>
        </w:rPr>
        <w:t>Agenda Item:</w:t>
      </w:r>
      <w:r w:rsidRPr="00023A63">
        <w:rPr>
          <w:rFonts w:cs="Arial"/>
          <w:sz w:val="22"/>
          <w:szCs w:val="22"/>
          <w:lang w:val="en-US"/>
        </w:rPr>
        <w:tab/>
      </w:r>
      <w:r w:rsidR="00D0399F">
        <w:t>10.4.1.6.2</w:t>
      </w:r>
    </w:p>
    <w:p w14:paraId="5DAA27F0" w14:textId="77777777" w:rsidR="00E90E49" w:rsidRPr="00023A63" w:rsidRDefault="003D3C45" w:rsidP="00F64C2B">
      <w:pPr>
        <w:pStyle w:val="3GPPHeader"/>
        <w:rPr>
          <w:rFonts w:cs="Arial"/>
          <w:sz w:val="22"/>
          <w:szCs w:val="22"/>
        </w:rPr>
      </w:pPr>
      <w:r w:rsidRPr="00023A63">
        <w:rPr>
          <w:rFonts w:cs="Arial"/>
          <w:sz w:val="22"/>
          <w:szCs w:val="22"/>
        </w:rPr>
        <w:t>Source:</w:t>
      </w:r>
      <w:r w:rsidR="00E90E49" w:rsidRPr="00023A63">
        <w:rPr>
          <w:rFonts w:cs="Arial"/>
          <w:sz w:val="22"/>
          <w:szCs w:val="22"/>
        </w:rPr>
        <w:tab/>
      </w:r>
      <w:r w:rsidR="00F64C2B" w:rsidRPr="00023A63">
        <w:rPr>
          <w:rFonts w:cs="Arial"/>
          <w:sz w:val="22"/>
          <w:szCs w:val="22"/>
        </w:rPr>
        <w:t>Ericsson</w:t>
      </w:r>
    </w:p>
    <w:p w14:paraId="63CB047E" w14:textId="4FBE0B54" w:rsidR="00E90E49" w:rsidRPr="00023A63" w:rsidRDefault="003D3C45" w:rsidP="00311702">
      <w:pPr>
        <w:pStyle w:val="3GPPHeader"/>
        <w:rPr>
          <w:rFonts w:cs="Arial"/>
          <w:sz w:val="22"/>
          <w:szCs w:val="22"/>
        </w:rPr>
      </w:pPr>
      <w:r w:rsidRPr="00023A63">
        <w:rPr>
          <w:rFonts w:cs="Arial"/>
          <w:sz w:val="22"/>
          <w:szCs w:val="22"/>
        </w:rPr>
        <w:t>Title:</w:t>
      </w:r>
      <w:r w:rsidR="00E90E49" w:rsidRPr="00023A63">
        <w:rPr>
          <w:rFonts w:cs="Arial"/>
          <w:sz w:val="22"/>
          <w:szCs w:val="22"/>
        </w:rPr>
        <w:tab/>
      </w:r>
      <w:r w:rsidR="00D0399F">
        <w:rPr>
          <w:rFonts w:cs="Arial"/>
          <w:sz w:val="22"/>
          <w:szCs w:val="22"/>
        </w:rPr>
        <w:t>Quasi-co-location information in SIB1</w:t>
      </w:r>
      <w:r w:rsidR="00A3264C">
        <w:rPr>
          <w:rFonts w:cs="Arial"/>
          <w:sz w:val="22"/>
          <w:szCs w:val="22"/>
        </w:rPr>
        <w:t xml:space="preserve"> and RRC Reconfiguration</w:t>
      </w:r>
    </w:p>
    <w:p w14:paraId="7E783B99" w14:textId="77777777" w:rsidR="00E90E49" w:rsidRPr="00023A63" w:rsidRDefault="00E90E49" w:rsidP="00D546FF">
      <w:pPr>
        <w:pStyle w:val="3GPPHeader"/>
        <w:rPr>
          <w:rFonts w:cs="Arial"/>
          <w:sz w:val="22"/>
          <w:szCs w:val="22"/>
        </w:rPr>
      </w:pPr>
      <w:r w:rsidRPr="00023A63">
        <w:rPr>
          <w:rFonts w:cs="Arial"/>
          <w:sz w:val="22"/>
          <w:szCs w:val="22"/>
        </w:rPr>
        <w:t>Document for:</w:t>
      </w:r>
      <w:r w:rsidRPr="00023A63">
        <w:rPr>
          <w:rFonts w:cs="Arial"/>
          <w:sz w:val="22"/>
          <w:szCs w:val="22"/>
        </w:rPr>
        <w:tab/>
        <w:t>Discussion, Decision</w:t>
      </w:r>
    </w:p>
    <w:p w14:paraId="65935703" w14:textId="77777777" w:rsidR="00E90E49" w:rsidRPr="00023A63" w:rsidRDefault="00E90E49" w:rsidP="00E90E49">
      <w:pPr>
        <w:rPr>
          <w:rFonts w:cs="Arial"/>
        </w:rPr>
      </w:pPr>
    </w:p>
    <w:p w14:paraId="607E06CC" w14:textId="77777777" w:rsidR="00E90E49" w:rsidRPr="00023A63" w:rsidRDefault="00E90E49" w:rsidP="00CE0424">
      <w:pPr>
        <w:pStyle w:val="Heading1"/>
      </w:pPr>
      <w:r w:rsidRPr="00023A63">
        <w:t>Introduction</w:t>
      </w:r>
    </w:p>
    <w:p w14:paraId="3E8EAB7C" w14:textId="03C3096E" w:rsidR="00D0399F" w:rsidRDefault="00D0399F" w:rsidP="00D0399F">
      <w:pPr>
        <w:pStyle w:val="BodyText"/>
        <w:rPr>
          <w:rFonts w:cs="Arial"/>
        </w:rPr>
      </w:pPr>
      <w:r>
        <w:rPr>
          <w:rFonts w:cs="Arial"/>
        </w:rPr>
        <w:t xml:space="preserve">RAN1 has been discussing deployments and scenarios </w:t>
      </w:r>
      <w:r>
        <w:rPr>
          <w:lang w:val="en-US"/>
        </w:rPr>
        <w:t xml:space="preserve">where </w:t>
      </w:r>
      <w:r w:rsidRPr="00E35933">
        <w:rPr>
          <w:lang w:val="en-US"/>
        </w:rPr>
        <w:t>the default SSB may not be usable or available as a sync source for receiving additional signals</w:t>
      </w:r>
      <w:r>
        <w:rPr>
          <w:lang w:val="en-US"/>
        </w:rPr>
        <w:t xml:space="preserve">. </w:t>
      </w:r>
      <w:r>
        <w:rPr>
          <w:rFonts w:cs="Arial"/>
        </w:rPr>
        <w:t>Even though most of the discussion is RAN1 internal, the configuration of the quasi-co-location (QCL) assumptions need to be addressed in RAN2.</w:t>
      </w:r>
    </w:p>
    <w:p w14:paraId="17E8B8F2" w14:textId="5AC247E9" w:rsidR="009713BD" w:rsidRPr="00023A63" w:rsidRDefault="00D0399F" w:rsidP="00D0399F">
      <w:pPr>
        <w:spacing w:after="0"/>
        <w:rPr>
          <w:rFonts w:cs="Arial"/>
        </w:rPr>
      </w:pPr>
      <w:r>
        <w:rPr>
          <w:rFonts w:cs="Arial"/>
        </w:rPr>
        <w:t xml:space="preserve">In this contribution, we explain </w:t>
      </w:r>
      <w:r w:rsidRPr="00E35933">
        <w:rPr>
          <w:lang w:val="en-US"/>
        </w:rPr>
        <w:t>scenarios and use cases where alternative sync support should be considered</w:t>
      </w:r>
      <w:r>
        <w:rPr>
          <w:lang w:val="en-US"/>
        </w:rPr>
        <w:t>, and then identify the required signaling support in RAN2 specifications.</w:t>
      </w:r>
    </w:p>
    <w:p w14:paraId="1EC83A78" w14:textId="3EA8B760" w:rsidR="00E27579" w:rsidRDefault="008A45DF" w:rsidP="00E27579">
      <w:pPr>
        <w:pStyle w:val="Heading1"/>
      </w:pPr>
      <w:bookmarkStart w:id="1" w:name="_Ref473901911"/>
      <w:r w:rsidRPr="00023A63">
        <w:t xml:space="preserve">Discussion </w:t>
      </w:r>
    </w:p>
    <w:p w14:paraId="69F55B6B" w14:textId="18B78C3F" w:rsidR="00D0399F" w:rsidRPr="00E35933" w:rsidRDefault="00D0399F" w:rsidP="00D0399F">
      <w:pPr>
        <w:rPr>
          <w:lang w:val="en-US"/>
        </w:rPr>
      </w:pPr>
      <w:r>
        <w:rPr>
          <w:lang w:val="en-US"/>
        </w:rPr>
        <w:t>T</w:t>
      </w:r>
      <w:r w:rsidRPr="00E35933">
        <w:rPr>
          <w:lang w:val="en-US"/>
        </w:rPr>
        <w:t>here are many potential use cases where the default SSB does not serve as a viable source of T/F sync for e.g. NR-PDCCH reception or CSI-RS measurements</w:t>
      </w:r>
      <w:r>
        <w:rPr>
          <w:lang w:val="en-US"/>
        </w:rPr>
        <w:t xml:space="preserve"> (see [1] for details)</w:t>
      </w:r>
      <w:r w:rsidRPr="00E35933">
        <w:rPr>
          <w:lang w:val="en-US"/>
        </w:rPr>
        <w:t xml:space="preserve">. Situations affecting initial access to the NW, e.g. the RA process, are of particular importance. The described use cases therefore motivate introduction of a mechanism for additional sync provisioning. </w:t>
      </w:r>
    </w:p>
    <w:p w14:paraId="3C3218EA" w14:textId="77777777" w:rsidR="00D0399F" w:rsidRPr="00E35933" w:rsidRDefault="00D0399F" w:rsidP="00D0399F">
      <w:pPr>
        <w:rPr>
          <w:lang w:val="en-US"/>
        </w:rPr>
      </w:pPr>
      <w:r w:rsidRPr="00E35933">
        <w:rPr>
          <w:lang w:val="en-US"/>
        </w:rPr>
        <w:t>One possible deployment is depicted in Figure 1. Assuming a low frequency band deployment (below 3 GHz) the maximum number of SS Blocks that can be beam-swept in NR is L=4. In this example, the idle mode functions are handled by SSB0 which has an omni-coverage (blue) while the SS Blocks SSB1, SSB2, and SSB3 are transmitted with sector wide beams and handles active mode related functions. Note that different nodes (base stations, gNBs) constitute different cells in this example and hence have different PCIs (PCI1, PCI2, PCI3, …).</w:t>
      </w:r>
    </w:p>
    <w:p w14:paraId="68F28DCA" w14:textId="77777777" w:rsidR="00D0399F" w:rsidRDefault="00D0399F" w:rsidP="00D0399F">
      <w:pPr>
        <w:pStyle w:val="BodyText"/>
        <w:rPr>
          <w:rStyle w:val="IvDbodytextChar"/>
        </w:rPr>
      </w:pPr>
    </w:p>
    <w:p w14:paraId="3C3674D8" w14:textId="77777777" w:rsidR="00D0399F" w:rsidRDefault="00D0399F" w:rsidP="00D0399F">
      <w:pPr>
        <w:pStyle w:val="BodyText"/>
        <w:keepNext/>
        <w:jc w:val="center"/>
      </w:pPr>
      <w:r>
        <w:rPr>
          <w:noProof/>
          <w:lang w:eastAsia="sv-SE"/>
        </w:rPr>
        <w:drawing>
          <wp:inline distT="0" distB="0" distL="0" distR="0" wp14:anchorId="3EBE1FF4" wp14:editId="1EDC9E6C">
            <wp:extent cx="5450205" cy="16884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50205" cy="1688465"/>
                    </a:xfrm>
                    <a:prstGeom prst="rect">
                      <a:avLst/>
                    </a:prstGeom>
                    <a:noFill/>
                  </pic:spPr>
                </pic:pic>
              </a:graphicData>
            </a:graphic>
          </wp:inline>
        </w:drawing>
      </w:r>
    </w:p>
    <w:p w14:paraId="102D62FB" w14:textId="29828B66" w:rsidR="00D0399F" w:rsidRPr="00E35933" w:rsidRDefault="00D0399F" w:rsidP="00D0399F">
      <w:pPr>
        <w:pStyle w:val="Caption"/>
        <w:rPr>
          <w:lang w:val="en-US"/>
        </w:rPr>
      </w:pPr>
      <w:bookmarkStart w:id="2" w:name="_Ref493669226"/>
      <w:r w:rsidRPr="00E35933">
        <w:rPr>
          <w:lang w:val="en-US"/>
        </w:rPr>
        <w:t xml:space="preserve">Figure </w:t>
      </w:r>
      <w:r>
        <w:fldChar w:fldCharType="begin"/>
      </w:r>
      <w:r w:rsidRPr="00E35933">
        <w:rPr>
          <w:lang w:val="en-US"/>
        </w:rPr>
        <w:instrText xml:space="preserve"> SEQ Figure \* ARABIC </w:instrText>
      </w:r>
      <w:r>
        <w:fldChar w:fldCharType="separate"/>
      </w:r>
      <w:r w:rsidR="009E3E07">
        <w:rPr>
          <w:noProof/>
          <w:lang w:val="en-US"/>
        </w:rPr>
        <w:t>1</w:t>
      </w:r>
      <w:r>
        <w:rPr>
          <w:noProof/>
        </w:rPr>
        <w:fldChar w:fldCharType="end"/>
      </w:r>
      <w:bookmarkEnd w:id="2"/>
      <w:r w:rsidRPr="00E35933">
        <w:rPr>
          <w:lang w:val="en-US"/>
        </w:rPr>
        <w:t xml:space="preserve">: Example low-frequencies (&lt;3GHz) deployment with </w:t>
      </w:r>
      <w:r w:rsidRPr="00E35933">
        <w:rPr>
          <w:i/>
          <w:iCs/>
          <w:lang w:val="en-US"/>
        </w:rPr>
        <w:t>L</w:t>
      </w:r>
      <w:r w:rsidRPr="00E35933">
        <w:rPr>
          <w:lang w:val="en-US"/>
        </w:rPr>
        <w:t>=4 SS Blocks. 3-sector site with same PCI.</w:t>
      </w:r>
    </w:p>
    <w:p w14:paraId="383AE8DD" w14:textId="61F9CE04" w:rsidR="00D0399F" w:rsidRPr="00E35933" w:rsidRDefault="00D0399F" w:rsidP="00D0399F">
      <w:pPr>
        <w:pStyle w:val="BodyText"/>
        <w:rPr>
          <w:lang w:val="en-US"/>
        </w:rPr>
      </w:pPr>
      <w:r w:rsidRPr="00E35933">
        <w:rPr>
          <w:lang w:val="en-US"/>
        </w:rPr>
        <w:t xml:space="preserve">For “mid-band deployments” between 3 GHz and 6 GHz, NR can be configured with up to L=8 SS Blocks per cell. In </w:t>
      </w:r>
      <w:r>
        <w:fldChar w:fldCharType="begin"/>
      </w:r>
      <w:r w:rsidRPr="00E35933">
        <w:rPr>
          <w:lang w:val="en-US"/>
        </w:rPr>
        <w:instrText xml:space="preserve"> REF _Ref493669511 \h </w:instrText>
      </w:r>
      <w:r>
        <w:fldChar w:fldCharType="separate"/>
      </w:r>
      <w:r w:rsidR="009E3E07" w:rsidRPr="00E35933">
        <w:rPr>
          <w:lang w:val="en-US"/>
        </w:rPr>
        <w:t xml:space="preserve">Figure </w:t>
      </w:r>
      <w:r w:rsidR="009E3E07">
        <w:rPr>
          <w:noProof/>
          <w:lang w:val="en-US"/>
        </w:rPr>
        <w:t>2</w:t>
      </w:r>
      <w:r>
        <w:fldChar w:fldCharType="end"/>
      </w:r>
      <w:r w:rsidRPr="00E35933">
        <w:rPr>
          <w:lang w:val="en-US"/>
        </w:rPr>
        <w:t xml:space="preserve"> we depict an example scenario where 7 different nodes (TRPs) are assigned with one SS Block index each (red circles). In addition, the 7 TRPs in the cell jointly transmit an additional SSB0 (e.g. in a </w:t>
      </w:r>
      <w:r w:rsidRPr="00E35933">
        <w:rPr>
          <w:lang w:val="en-US"/>
        </w:rPr>
        <w:lastRenderedPageBreak/>
        <w:t xml:space="preserve">single frequency network (SFN) joint synchronized transmission fashion). In this example, groups of 7 TRPs constitute one cell (as seen from the UE) and the network consist of several such cells with different PCIs (PCI1, PCI2, PCI3, …). </w:t>
      </w:r>
    </w:p>
    <w:p w14:paraId="47042A2C" w14:textId="77777777" w:rsidR="00D0399F" w:rsidRDefault="00D0399F" w:rsidP="00D0399F">
      <w:pPr>
        <w:pStyle w:val="BodyText"/>
        <w:keepNext/>
        <w:jc w:val="center"/>
      </w:pPr>
      <w:r>
        <w:rPr>
          <w:noProof/>
          <w:lang w:eastAsia="sv-SE"/>
        </w:rPr>
        <w:drawing>
          <wp:inline distT="0" distB="0" distL="0" distR="0" wp14:anchorId="10B6535A" wp14:editId="3DA86D6D">
            <wp:extent cx="4953635" cy="24055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1364" cy="2409297"/>
                    </a:xfrm>
                    <a:prstGeom prst="rect">
                      <a:avLst/>
                    </a:prstGeom>
                    <a:noFill/>
                  </pic:spPr>
                </pic:pic>
              </a:graphicData>
            </a:graphic>
          </wp:inline>
        </w:drawing>
      </w:r>
    </w:p>
    <w:p w14:paraId="05D2A331" w14:textId="7189003A" w:rsidR="00D0399F" w:rsidRPr="00E35933" w:rsidRDefault="00D0399F" w:rsidP="00D0399F">
      <w:pPr>
        <w:pStyle w:val="Caption"/>
        <w:rPr>
          <w:lang w:val="en-US"/>
        </w:rPr>
      </w:pPr>
      <w:bookmarkStart w:id="3" w:name="_Ref493669511"/>
      <w:r w:rsidRPr="00E35933">
        <w:rPr>
          <w:lang w:val="en-US"/>
        </w:rPr>
        <w:t xml:space="preserve">Figure </w:t>
      </w:r>
      <w:r>
        <w:fldChar w:fldCharType="begin"/>
      </w:r>
      <w:r w:rsidRPr="00E35933">
        <w:rPr>
          <w:lang w:val="en-US"/>
        </w:rPr>
        <w:instrText xml:space="preserve"> SEQ Figure \* ARABIC </w:instrText>
      </w:r>
      <w:r>
        <w:fldChar w:fldCharType="separate"/>
      </w:r>
      <w:r w:rsidR="009E3E07">
        <w:rPr>
          <w:noProof/>
          <w:lang w:val="en-US"/>
        </w:rPr>
        <w:t>2</w:t>
      </w:r>
      <w:r>
        <w:rPr>
          <w:noProof/>
        </w:rPr>
        <w:fldChar w:fldCharType="end"/>
      </w:r>
      <w:bookmarkEnd w:id="3"/>
      <w:r w:rsidRPr="00E35933">
        <w:rPr>
          <w:lang w:val="en-US"/>
        </w:rPr>
        <w:t xml:space="preserve">: Example medium-frequency deployment (3-6 GHz) </w:t>
      </w:r>
      <w:r w:rsidRPr="00E35933">
        <w:rPr>
          <w:i/>
          <w:iCs/>
          <w:lang w:val="en-US"/>
        </w:rPr>
        <w:t>L</w:t>
      </w:r>
      <w:r w:rsidRPr="00E35933">
        <w:rPr>
          <w:lang w:val="en-US"/>
        </w:rPr>
        <w:t>=8 and 7-TRP cluster with same PCI.</w:t>
      </w:r>
    </w:p>
    <w:p w14:paraId="7CCB5408" w14:textId="4D30FB85" w:rsidR="00D0399F" w:rsidRPr="00E35933" w:rsidRDefault="00D0399F" w:rsidP="00D0399F">
      <w:pPr>
        <w:pStyle w:val="BodyText"/>
        <w:rPr>
          <w:lang w:val="en-US"/>
        </w:rPr>
      </w:pPr>
      <w:r w:rsidRPr="00E35933">
        <w:rPr>
          <w:lang w:val="en-US"/>
        </w:rPr>
        <w:t xml:space="preserve">For high frequency bands, the number of SS Blocks per NR cell can be L=64 and there are a large number of possible ways to utilize those beams in a network deployment. One example is depicted in </w:t>
      </w:r>
      <w:r>
        <w:fldChar w:fldCharType="begin"/>
      </w:r>
      <w:r w:rsidRPr="00E35933">
        <w:rPr>
          <w:lang w:val="en-US"/>
        </w:rPr>
        <w:instrText xml:space="preserve"> REF _Ref493676514 \h </w:instrText>
      </w:r>
      <w:r>
        <w:fldChar w:fldCharType="separate"/>
      </w:r>
      <w:r w:rsidR="009E3E07" w:rsidRPr="00E35933">
        <w:rPr>
          <w:lang w:val="en-US"/>
        </w:rPr>
        <w:t xml:space="preserve">Figure </w:t>
      </w:r>
      <w:r w:rsidR="009E3E07">
        <w:rPr>
          <w:noProof/>
          <w:lang w:val="en-US"/>
        </w:rPr>
        <w:t>3</w:t>
      </w:r>
      <w:r>
        <w:fldChar w:fldCharType="end"/>
      </w:r>
      <w:r w:rsidRPr="00E35933">
        <w:rPr>
          <w:lang w:val="en-US"/>
        </w:rPr>
        <w:t xml:space="preserve"> showing an indoor system consisting of one radio base station (RBS) with multiple transmission points (TRPs), each TRP associated with one SSB for active mode functionalities. In addition, the TRPs jointly transmit SSB0 for support of one or more idle mode functionalities. An alternative way to use 64 beams is to assign 1 PCI to a group of 7 TRPs and then assign 7 SS Block indexes to each of the TRPs. In combination with a jointly transmitted SSB0 for some idle mode functionality this would add up to 9x7+1 = 64 beams. </w:t>
      </w:r>
    </w:p>
    <w:p w14:paraId="1F63B0D1" w14:textId="77777777" w:rsidR="00D0399F" w:rsidRDefault="00D0399F" w:rsidP="00D0399F">
      <w:pPr>
        <w:pStyle w:val="BodyText"/>
        <w:keepNext/>
      </w:pPr>
      <w:r>
        <w:rPr>
          <w:noProof/>
          <w:lang w:eastAsia="sv-SE"/>
        </w:rPr>
        <w:drawing>
          <wp:inline distT="0" distB="0" distL="0" distR="0" wp14:anchorId="017ABE40" wp14:editId="5CE153F2">
            <wp:extent cx="5571756" cy="2219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81791" cy="2223322"/>
                    </a:xfrm>
                    <a:prstGeom prst="rect">
                      <a:avLst/>
                    </a:prstGeom>
                    <a:noFill/>
                  </pic:spPr>
                </pic:pic>
              </a:graphicData>
            </a:graphic>
          </wp:inline>
        </w:drawing>
      </w:r>
    </w:p>
    <w:p w14:paraId="4E8309C8" w14:textId="558ED317" w:rsidR="00D0399F" w:rsidRPr="00E35933" w:rsidRDefault="00D0399F" w:rsidP="00D0399F">
      <w:pPr>
        <w:pStyle w:val="Caption"/>
        <w:rPr>
          <w:lang w:val="en-US"/>
        </w:rPr>
      </w:pPr>
      <w:bookmarkStart w:id="4" w:name="_Ref493676514"/>
      <w:r w:rsidRPr="00E35933">
        <w:rPr>
          <w:lang w:val="en-US"/>
        </w:rPr>
        <w:t xml:space="preserve">Figure </w:t>
      </w:r>
      <w:r>
        <w:fldChar w:fldCharType="begin"/>
      </w:r>
      <w:r w:rsidRPr="00E35933">
        <w:rPr>
          <w:lang w:val="en-US"/>
        </w:rPr>
        <w:instrText xml:space="preserve"> SEQ Figure \* ARABIC </w:instrText>
      </w:r>
      <w:r>
        <w:fldChar w:fldCharType="separate"/>
      </w:r>
      <w:r w:rsidR="009E3E07">
        <w:rPr>
          <w:noProof/>
          <w:lang w:val="en-US"/>
        </w:rPr>
        <w:t>3</w:t>
      </w:r>
      <w:r>
        <w:rPr>
          <w:noProof/>
        </w:rPr>
        <w:fldChar w:fldCharType="end"/>
      </w:r>
      <w:bookmarkEnd w:id="4"/>
      <w:r w:rsidRPr="00E35933">
        <w:rPr>
          <w:lang w:val="en-US"/>
        </w:rPr>
        <w:t xml:space="preserve">: Example high-frequency deployment (above 6GHz) </w:t>
      </w:r>
      <w:r w:rsidRPr="00E35933">
        <w:rPr>
          <w:i/>
          <w:iCs/>
          <w:lang w:val="en-US"/>
        </w:rPr>
        <w:t>L</w:t>
      </w:r>
      <w:r w:rsidRPr="00E35933">
        <w:rPr>
          <w:lang w:val="en-US"/>
        </w:rPr>
        <w:t>=64:</w:t>
      </w:r>
      <w:r w:rsidRPr="00E35933">
        <w:rPr>
          <w:lang w:val="en-US"/>
        </w:rPr>
        <w:br/>
        <w:t>e.g. building-covering Indoor deployment.</w:t>
      </w:r>
    </w:p>
    <w:p w14:paraId="141B1EEB" w14:textId="0412472A" w:rsidR="00D0399F" w:rsidRPr="00E35933" w:rsidRDefault="00D0399F" w:rsidP="00D0399F">
      <w:pPr>
        <w:rPr>
          <w:lang w:val="en-US"/>
        </w:rPr>
      </w:pPr>
      <w:r w:rsidRPr="00E35933">
        <w:rPr>
          <w:lang w:val="en-US"/>
        </w:rPr>
        <w:t xml:space="preserve">Time multiplexing of SS Blocks and RMSI transmissions is suitable for scenarios when the system bandwidth is limited. This is exemplified in </w:t>
      </w:r>
      <w:r>
        <w:fldChar w:fldCharType="begin"/>
      </w:r>
      <w:r w:rsidRPr="00E35933">
        <w:rPr>
          <w:lang w:val="en-US"/>
        </w:rPr>
        <w:instrText xml:space="preserve"> REF _Ref493675715 \h </w:instrText>
      </w:r>
      <w:r>
        <w:fldChar w:fldCharType="separate"/>
      </w:r>
      <w:r w:rsidR="009E3E07" w:rsidRPr="00E35933">
        <w:rPr>
          <w:lang w:val="en-US"/>
        </w:rPr>
        <w:t xml:space="preserve">Figure </w:t>
      </w:r>
      <w:r w:rsidR="009E3E07">
        <w:rPr>
          <w:noProof/>
          <w:lang w:val="en-US"/>
        </w:rPr>
        <w:t>4</w:t>
      </w:r>
      <w:r>
        <w:fldChar w:fldCharType="end"/>
      </w:r>
      <w:r w:rsidRPr="00E35933">
        <w:rPr>
          <w:lang w:val="en-US"/>
        </w:rPr>
        <w:t xml:space="preserve"> where one sector contains one wide beam (SSB0) and 3 narrow beams (SSB1-SSB3). By transmitting the RMSI, OSI and/or paging only in the wide beam and not in narrow beams corresponding to the SSB1-SSB3 we can reduce the amount of spatial repetition required.</w:t>
      </w:r>
    </w:p>
    <w:p w14:paraId="6F7DC801" w14:textId="77777777" w:rsidR="00D0399F" w:rsidRDefault="00D0399F" w:rsidP="00D0399F">
      <w:pPr>
        <w:pStyle w:val="Caption"/>
        <w:keepNext/>
      </w:pPr>
      <w:r>
        <w:rPr>
          <w:noProof/>
          <w:lang w:eastAsia="sv-SE"/>
        </w:rPr>
        <w:drawing>
          <wp:inline distT="0" distB="0" distL="0" distR="0" wp14:anchorId="4B5E5BAF" wp14:editId="7DF015AC">
            <wp:extent cx="5813163" cy="205861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34362" cy="2066126"/>
                    </a:xfrm>
                    <a:prstGeom prst="rect">
                      <a:avLst/>
                    </a:prstGeom>
                    <a:noFill/>
                  </pic:spPr>
                </pic:pic>
              </a:graphicData>
            </a:graphic>
          </wp:inline>
        </w:drawing>
      </w:r>
    </w:p>
    <w:p w14:paraId="476EB5C4" w14:textId="58976004" w:rsidR="00D0399F" w:rsidRPr="00E35933" w:rsidRDefault="00D0399F" w:rsidP="00D0399F">
      <w:pPr>
        <w:pStyle w:val="Caption"/>
        <w:rPr>
          <w:lang w:val="en-US"/>
        </w:rPr>
      </w:pPr>
      <w:bookmarkStart w:id="5" w:name="_Ref493675715"/>
      <w:r w:rsidRPr="00E35933">
        <w:rPr>
          <w:lang w:val="en-US"/>
        </w:rPr>
        <w:t xml:space="preserve">Figure </w:t>
      </w:r>
      <w:r>
        <w:fldChar w:fldCharType="begin"/>
      </w:r>
      <w:r w:rsidRPr="00E35933">
        <w:rPr>
          <w:lang w:val="en-US"/>
        </w:rPr>
        <w:instrText xml:space="preserve"> SEQ Figure \* ARABIC </w:instrText>
      </w:r>
      <w:r>
        <w:fldChar w:fldCharType="separate"/>
      </w:r>
      <w:r w:rsidR="009E3E07">
        <w:rPr>
          <w:noProof/>
          <w:lang w:val="en-US"/>
        </w:rPr>
        <w:t>4</w:t>
      </w:r>
      <w:r>
        <w:rPr>
          <w:noProof/>
        </w:rPr>
        <w:fldChar w:fldCharType="end"/>
      </w:r>
      <w:bookmarkEnd w:id="5"/>
      <w:r w:rsidRPr="00E35933">
        <w:rPr>
          <w:lang w:val="en-US"/>
        </w:rPr>
        <w:t>: Example deployment in narrow bandwidth.</w:t>
      </w:r>
    </w:p>
    <w:p w14:paraId="7D3FED27" w14:textId="77777777" w:rsidR="00D0399F" w:rsidRPr="00E35933" w:rsidRDefault="00D0399F" w:rsidP="00D0399F">
      <w:pPr>
        <w:rPr>
          <w:lang w:val="en-US"/>
        </w:rPr>
      </w:pPr>
    </w:p>
    <w:p w14:paraId="168FD978" w14:textId="0CF1F855" w:rsidR="00D0399F" w:rsidRPr="00E35933" w:rsidRDefault="00D0399F" w:rsidP="00D0399F">
      <w:pPr>
        <w:rPr>
          <w:lang w:val="en-US"/>
        </w:rPr>
      </w:pPr>
      <w:r w:rsidRPr="00E35933">
        <w:rPr>
          <w:lang w:val="en-US"/>
        </w:rPr>
        <w:t xml:space="preserve">In another approach, we can utilize the agreed mechanism for configuring off-search-grid SSBs. In this approach, the on-search-grid SSBs may be kept broad and QCL with access signals. In addition, dynamic off-grid (non-cell-defining) SSBs may be employed to support active mode procedures. In this way, the dynamic SSBs become invisible for idle mode UEs. This is depicted in </w:t>
      </w:r>
      <w:r>
        <w:fldChar w:fldCharType="begin"/>
      </w:r>
      <w:r w:rsidRPr="00E35933">
        <w:rPr>
          <w:lang w:val="en-US"/>
        </w:rPr>
        <w:instrText xml:space="preserve"> REF _Ref493677079 \h </w:instrText>
      </w:r>
      <w:r>
        <w:fldChar w:fldCharType="separate"/>
      </w:r>
      <w:r w:rsidR="009E3E07" w:rsidRPr="00E35933">
        <w:rPr>
          <w:lang w:val="en-US"/>
        </w:rPr>
        <w:t xml:space="preserve">Figure </w:t>
      </w:r>
      <w:r w:rsidR="009E3E07">
        <w:rPr>
          <w:noProof/>
          <w:lang w:val="en-US"/>
        </w:rPr>
        <w:t>5</w:t>
      </w:r>
      <w:r>
        <w:fldChar w:fldCharType="end"/>
      </w:r>
      <w:r w:rsidRPr="00E35933">
        <w:rPr>
          <w:lang w:val="en-US"/>
        </w:rPr>
        <w:t>. Alternatively, the off-grid SSBs may omit transmitting some information that is required only for system access (e.g. the PBCH) and thus do not assist UEs that use these SSBs for sync purposes only. The off-grid SSBs may be activated dynamically only when signals they are assisting are present and they may be configured with different repetition periods compared to the default SSBs.</w:t>
      </w:r>
    </w:p>
    <w:p w14:paraId="279692AF" w14:textId="77777777" w:rsidR="00D0399F" w:rsidRDefault="00D0399F" w:rsidP="00D0399F">
      <w:pPr>
        <w:pStyle w:val="BodyText"/>
        <w:keepNext/>
        <w:jc w:val="center"/>
      </w:pPr>
      <w:r>
        <w:rPr>
          <w:noProof/>
          <w:lang w:eastAsia="sv-SE"/>
        </w:rPr>
        <w:drawing>
          <wp:inline distT="0" distB="0" distL="0" distR="0" wp14:anchorId="7E7C6429" wp14:editId="051B82B1">
            <wp:extent cx="2744307"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8900" cy="2518808"/>
                    </a:xfrm>
                    <a:prstGeom prst="rect">
                      <a:avLst/>
                    </a:prstGeom>
                    <a:noFill/>
                  </pic:spPr>
                </pic:pic>
              </a:graphicData>
            </a:graphic>
          </wp:inline>
        </w:drawing>
      </w:r>
    </w:p>
    <w:p w14:paraId="5685FEFE" w14:textId="0461CC4C" w:rsidR="00D0399F" w:rsidRPr="00E35933" w:rsidRDefault="00D0399F" w:rsidP="00D0399F">
      <w:pPr>
        <w:pStyle w:val="Caption"/>
        <w:rPr>
          <w:lang w:val="en-US"/>
        </w:rPr>
      </w:pPr>
      <w:bookmarkStart w:id="6" w:name="_Ref493677079"/>
      <w:r w:rsidRPr="00E35933">
        <w:rPr>
          <w:lang w:val="en-US"/>
        </w:rPr>
        <w:t xml:space="preserve">Figure </w:t>
      </w:r>
      <w:r>
        <w:fldChar w:fldCharType="begin"/>
      </w:r>
      <w:r w:rsidRPr="00E35933">
        <w:rPr>
          <w:lang w:val="en-US"/>
        </w:rPr>
        <w:instrText xml:space="preserve"> SEQ Figure \* ARABIC </w:instrText>
      </w:r>
      <w:r>
        <w:fldChar w:fldCharType="separate"/>
      </w:r>
      <w:r w:rsidR="009E3E07">
        <w:rPr>
          <w:noProof/>
          <w:lang w:val="en-US"/>
        </w:rPr>
        <w:t>5</w:t>
      </w:r>
      <w:r>
        <w:rPr>
          <w:noProof/>
        </w:rPr>
        <w:fldChar w:fldCharType="end"/>
      </w:r>
      <w:bookmarkEnd w:id="6"/>
      <w:r w:rsidRPr="00E35933">
        <w:rPr>
          <w:lang w:val="en-US"/>
        </w:rPr>
        <w:t xml:space="preserve">: Example deployment in wide bandwidth. The leftmost part of </w:t>
      </w:r>
      <w:r>
        <w:fldChar w:fldCharType="begin"/>
      </w:r>
      <w:r w:rsidRPr="00E35933">
        <w:rPr>
          <w:lang w:val="en-US"/>
        </w:rPr>
        <w:instrText xml:space="preserve"> REF _Ref493675715 \h </w:instrText>
      </w:r>
      <w:r>
        <w:fldChar w:fldCharType="separate"/>
      </w:r>
      <w:r w:rsidR="009E3E07" w:rsidRPr="00E35933">
        <w:rPr>
          <w:lang w:val="en-US"/>
        </w:rPr>
        <w:t xml:space="preserve">Figure </w:t>
      </w:r>
      <w:r w:rsidR="009E3E07">
        <w:rPr>
          <w:noProof/>
          <w:lang w:val="en-US"/>
        </w:rPr>
        <w:t>4</w:t>
      </w:r>
      <w:r>
        <w:fldChar w:fldCharType="end"/>
      </w:r>
      <w:r w:rsidRPr="00E35933">
        <w:rPr>
          <w:lang w:val="en-US"/>
        </w:rPr>
        <w:t xml:space="preserve"> applies also to this scenario.</w:t>
      </w:r>
    </w:p>
    <w:p w14:paraId="6D9431AF" w14:textId="77777777" w:rsidR="00D0399F" w:rsidRPr="00E35933" w:rsidRDefault="00D0399F" w:rsidP="00D0399F">
      <w:pPr>
        <w:rPr>
          <w:lang w:val="en-US"/>
        </w:rPr>
      </w:pPr>
    </w:p>
    <w:p w14:paraId="491D6C6C" w14:textId="77777777" w:rsidR="00D0399F" w:rsidRPr="00E35933" w:rsidRDefault="00D0399F" w:rsidP="00D0399F">
      <w:pPr>
        <w:rPr>
          <w:lang w:val="en-US"/>
        </w:rPr>
      </w:pPr>
      <w:r w:rsidRPr="00E35933">
        <w:rPr>
          <w:lang w:val="en-US"/>
        </w:rPr>
        <w:t>In order to enable the SSB-based additional sync provision mechanism, the relevant QCL relationships and/or the use of off-grid SSBs must be signaled to the UE in order for the UE to configure system access, paging, or measurement signal reception with proper SSB reference and QCL assumptions.</w:t>
      </w:r>
    </w:p>
    <w:p w14:paraId="08D5484D" w14:textId="54961AEF" w:rsidR="00D0399F" w:rsidRPr="00E35933" w:rsidRDefault="00D0399F" w:rsidP="00D0399F">
      <w:pPr>
        <w:rPr>
          <w:lang w:val="en-US"/>
        </w:rPr>
      </w:pPr>
      <w:r w:rsidRPr="00F61A56">
        <w:rPr>
          <w:lang w:val="en-US"/>
        </w:rPr>
        <w:t xml:space="preserve">In </w:t>
      </w:r>
      <w:r w:rsidR="00F61A56" w:rsidRPr="00F61A56">
        <w:rPr>
          <w:lang w:val="en-US"/>
        </w:rPr>
        <w:t>[2</w:t>
      </w:r>
      <w:r w:rsidRPr="00F61A56">
        <w:rPr>
          <w:lang w:val="en-US"/>
        </w:rPr>
        <w:t>], it is proposed that a bit in PBCH be used to indicate whether the RMSI is QCL with the SSB. If the bit indicated a non-QCL configuration, an alternative sync source may effectively be implied. For the RMSI reception use case, the SSB-RMSI QCL bit in MIB [</w:t>
      </w:r>
      <w:r w:rsidR="00F61A56" w:rsidRPr="00F61A56">
        <w:rPr>
          <w:lang w:val="en-US"/>
        </w:rPr>
        <w:t>2</w:t>
      </w:r>
      <w:r w:rsidRPr="00F61A56">
        <w:rPr>
          <w:lang w:val="en-US"/>
        </w:rPr>
        <w:t>] can</w:t>
      </w:r>
      <w:r w:rsidRPr="00E35933">
        <w:rPr>
          <w:lang w:val="en-US"/>
        </w:rPr>
        <w:t xml:space="preserve"> be used to indicate which SSB transmissions are suitable (QCL) for RMSI PDCCH reception. If the deployment examples of Fig. 1-3 is used, the QCL bit in the given SSBn (n&gt;0) beam set to 0 directs the UE to use SSB0 for RMSI reception. This signaling approach can be defined by RAN1; no RAN2 involvement is necessary.</w:t>
      </w:r>
    </w:p>
    <w:p w14:paraId="27479918" w14:textId="77777777" w:rsidR="00D0399F" w:rsidRPr="00E35933" w:rsidRDefault="00D0399F" w:rsidP="00D0399F">
      <w:pPr>
        <w:rPr>
          <w:lang w:val="en-US"/>
        </w:rPr>
      </w:pPr>
      <w:r w:rsidRPr="00E35933">
        <w:rPr>
          <w:lang w:val="en-US"/>
        </w:rPr>
        <w:t xml:space="preserve">For the RAR, OSI, and paging use cases, the suitable UE receiver configuration with regard to SSB QCL relations can be indicated in RMSI. SIB1 thus configures the UE to use appropriate (QCL) SSB instances for relevant PDCCH/PDSCH reception.  </w:t>
      </w:r>
    </w:p>
    <w:p w14:paraId="36208514" w14:textId="10871A5F" w:rsidR="00D0399F" w:rsidRPr="00E35933" w:rsidRDefault="00D0399F" w:rsidP="00D0399F">
      <w:pPr>
        <w:pStyle w:val="Proposal"/>
        <w:tabs>
          <w:tab w:val="num" w:pos="1304"/>
        </w:tabs>
        <w:overflowPunct/>
        <w:autoSpaceDE/>
        <w:autoSpaceDN/>
        <w:adjustRightInd/>
        <w:spacing w:after="160" w:line="259" w:lineRule="auto"/>
        <w:ind w:left="1304" w:hanging="1304"/>
        <w:jc w:val="left"/>
        <w:textAlignment w:val="auto"/>
        <w:rPr>
          <w:lang w:val="en-US"/>
        </w:rPr>
      </w:pPr>
      <w:bookmarkStart w:id="7" w:name="_Toc494369885"/>
      <w:r w:rsidRPr="00E35933">
        <w:rPr>
          <w:lang w:val="en-US"/>
        </w:rPr>
        <w:t xml:space="preserve">RAN2 should </w:t>
      </w:r>
      <w:r w:rsidR="00782BF5">
        <w:rPr>
          <w:lang w:val="en-US"/>
        </w:rPr>
        <w:t xml:space="preserve">introduce information elements in SIB1 to indicate </w:t>
      </w:r>
      <w:r w:rsidR="00782BF5" w:rsidRPr="00E35933">
        <w:rPr>
          <w:lang w:val="en-US"/>
        </w:rPr>
        <w:t>which time indices in the default SSB sweep and/or which off-grid SSBs should be used as QCL reference for PDCCH/PDSCH reception for RAR, OSI, and paging.</w:t>
      </w:r>
      <w:bookmarkEnd w:id="7"/>
    </w:p>
    <w:p w14:paraId="189E1893" w14:textId="4067B6AB" w:rsidR="00D0399F" w:rsidRPr="00E35933" w:rsidRDefault="00D0399F" w:rsidP="00D0399F">
      <w:pPr>
        <w:rPr>
          <w:lang w:val="en-US"/>
        </w:rPr>
      </w:pPr>
      <w:r w:rsidRPr="00E35933">
        <w:rPr>
          <w:lang w:val="en-US"/>
        </w:rPr>
        <w:t>For the CSI-RS-based beam management and mobility use cases, the suitable UE receiver configuration with regard to SSB QCL relations can be indicated via RRC signaling. The RRC signaling from the NW thus configures the UE to use appropriate (QCL) SSB instances for relevant CSI-RS reception.  The use of TRS as fine sync support for CSI-RS detection is being discussed; the additional sync SSBs may also be used as a reference for TRS reception.</w:t>
      </w:r>
    </w:p>
    <w:p w14:paraId="15998CE0" w14:textId="3B062635" w:rsidR="00D0399F" w:rsidRPr="00E35933" w:rsidRDefault="00D0399F" w:rsidP="00D0399F">
      <w:pPr>
        <w:pStyle w:val="Proposal"/>
        <w:tabs>
          <w:tab w:val="num" w:pos="1304"/>
        </w:tabs>
        <w:overflowPunct/>
        <w:autoSpaceDE/>
        <w:autoSpaceDN/>
        <w:adjustRightInd/>
        <w:spacing w:after="160" w:line="259" w:lineRule="auto"/>
        <w:ind w:left="1304" w:hanging="1304"/>
        <w:jc w:val="left"/>
        <w:textAlignment w:val="auto"/>
        <w:rPr>
          <w:lang w:val="en-US"/>
        </w:rPr>
      </w:pPr>
      <w:bookmarkStart w:id="8" w:name="_Toc494369886"/>
      <w:r w:rsidRPr="00E35933">
        <w:rPr>
          <w:lang w:val="en-US"/>
        </w:rPr>
        <w:t xml:space="preserve">RAN2 should </w:t>
      </w:r>
      <w:r w:rsidR="00782BF5">
        <w:rPr>
          <w:lang w:val="en-US"/>
        </w:rPr>
        <w:t xml:space="preserve">introduce information elements in RRC Reconfiguration message </w:t>
      </w:r>
      <w:r w:rsidR="00782BF5" w:rsidRPr="00E35933">
        <w:rPr>
          <w:lang w:val="en-US"/>
        </w:rPr>
        <w:t>to indicate which time indices in the default SSB sweep and/or which off-grid SSBs should be used as QCL reference for CSI-RS and/or TRS reception for beam management and/or active mode mobility measurements.</w:t>
      </w:r>
      <w:bookmarkEnd w:id="8"/>
    </w:p>
    <w:p w14:paraId="5C770E50" w14:textId="192394AE" w:rsidR="00B01AE2" w:rsidRDefault="00B01AE2" w:rsidP="00D27DB6">
      <w:pPr>
        <w:pStyle w:val="Heading1"/>
      </w:pPr>
      <w:r w:rsidRPr="00023A63">
        <w:t>Conclusion</w:t>
      </w:r>
    </w:p>
    <w:p w14:paraId="3E8E79C9" w14:textId="405EF199" w:rsidR="000B51AD" w:rsidRPr="000B51AD" w:rsidRDefault="000B51AD" w:rsidP="00F92740">
      <w:pPr>
        <w:rPr>
          <w:rFonts w:cs="Arial"/>
        </w:rPr>
      </w:pPr>
      <w:r w:rsidRPr="000B51AD">
        <w:rPr>
          <w:rFonts w:cs="Arial"/>
        </w:rPr>
        <w:t xml:space="preserve">Based on the </w:t>
      </w:r>
      <w:r>
        <w:rPr>
          <w:rFonts w:cs="Arial"/>
        </w:rPr>
        <w:t>discussion in section 2.1, we propose</w:t>
      </w:r>
    </w:p>
    <w:bookmarkStart w:id="9" w:name="_Toc492629149"/>
    <w:bookmarkStart w:id="10" w:name="_Toc492598354"/>
    <w:p w14:paraId="0F87963E" w14:textId="77777777" w:rsidR="009E3E07" w:rsidRDefault="009E3E07">
      <w:pPr>
        <w:pStyle w:val="TOC1"/>
        <w:rPr>
          <w:rFonts w:asciiTheme="minorHAnsi" w:eastAsiaTheme="minorEastAsia" w:hAnsiTheme="minorHAnsi" w:cstheme="minorBidi"/>
          <w:b w:val="0"/>
          <w:sz w:val="22"/>
          <w:lang w:eastAsia="en-US"/>
        </w:rPr>
      </w:pPr>
      <w:r w:rsidRPr="003E2192">
        <w:rPr>
          <w:lang w:val="sv-SE"/>
        </w:rPr>
        <w:fldChar w:fldCharType="begin"/>
      </w:r>
      <w:r w:rsidRPr="00F72947">
        <w:instrText xml:space="preserve"> TOC \f \n \p " " \t "Proposal,1" </w:instrText>
      </w:r>
      <w:r w:rsidRPr="003E2192">
        <w:rPr>
          <w:lang w:val="sv-SE"/>
        </w:rPr>
        <w:fldChar w:fldCharType="separate"/>
      </w:r>
      <w:bookmarkEnd w:id="9"/>
      <w:bookmarkEnd w:id="10"/>
      <w:r w:rsidRPr="00254F37">
        <w:t>Proposal 1</w:t>
      </w:r>
      <w:r>
        <w:rPr>
          <w:rFonts w:asciiTheme="minorHAnsi" w:eastAsiaTheme="minorEastAsia" w:hAnsiTheme="minorHAnsi" w:cstheme="minorBidi"/>
          <w:b w:val="0"/>
          <w:sz w:val="22"/>
          <w:lang w:eastAsia="en-US"/>
        </w:rPr>
        <w:tab/>
      </w:r>
      <w:r w:rsidRPr="00254F37">
        <w:t>RAN2 should introduce information elements in SIB1 to indicate which time indices in the default SSB sweep and/or which off-grid SSBs should be used as QCL reference for PDCCH/PDSCH reception for RAR, OSI, and paging.</w:t>
      </w:r>
    </w:p>
    <w:p w14:paraId="5F9B781A" w14:textId="77777777" w:rsidR="009E3E07" w:rsidRDefault="009E3E07">
      <w:pPr>
        <w:pStyle w:val="TOC1"/>
        <w:rPr>
          <w:rFonts w:asciiTheme="minorHAnsi" w:eastAsiaTheme="minorEastAsia" w:hAnsiTheme="minorHAnsi" w:cstheme="minorBidi"/>
          <w:b w:val="0"/>
          <w:sz w:val="22"/>
          <w:lang w:eastAsia="en-US"/>
        </w:rPr>
      </w:pPr>
      <w:r w:rsidRPr="00254F37">
        <w:t>Proposal 2</w:t>
      </w:r>
      <w:r>
        <w:rPr>
          <w:rFonts w:asciiTheme="minorHAnsi" w:eastAsiaTheme="minorEastAsia" w:hAnsiTheme="minorHAnsi" w:cstheme="minorBidi"/>
          <w:b w:val="0"/>
          <w:sz w:val="22"/>
          <w:lang w:eastAsia="en-US"/>
        </w:rPr>
        <w:tab/>
      </w:r>
      <w:r w:rsidRPr="00254F37">
        <w:t>RAN2 should introduce information elements in RRC Reconfiguration message to indicate to which time indices in the default SSB sweep and/or which off-grid SSBs should be used as QCL reference for CSI-RS and/or TRS reception for beam management and/or active mode mobility measurements.</w:t>
      </w:r>
    </w:p>
    <w:p w14:paraId="3D6DCC41" w14:textId="6A1700D3" w:rsidR="00122010" w:rsidRPr="00023A63" w:rsidRDefault="009E3E07" w:rsidP="009E3E07">
      <w:pPr>
        <w:rPr>
          <w:rFonts w:cs="Arial"/>
        </w:rPr>
      </w:pPr>
      <w:r w:rsidRPr="003E2192">
        <w:rPr>
          <w:b/>
          <w:bCs/>
          <w:noProof/>
          <w:szCs w:val="22"/>
          <w:lang w:val="en-US"/>
        </w:rPr>
        <w:fldChar w:fldCharType="end"/>
      </w:r>
    </w:p>
    <w:p w14:paraId="3841A8F7" w14:textId="32CB9612" w:rsidR="00122010" w:rsidRDefault="000B51AD" w:rsidP="00122010">
      <w:pPr>
        <w:pStyle w:val="Heading1"/>
      </w:pPr>
      <w:r>
        <w:t>References</w:t>
      </w:r>
    </w:p>
    <w:p w14:paraId="67771A21" w14:textId="0C1B2513" w:rsidR="00F61A56" w:rsidRDefault="00F61A56" w:rsidP="00F61A56">
      <w:r>
        <w:t>[1]</w:t>
      </w:r>
      <w:r>
        <w:tab/>
      </w:r>
      <w:r w:rsidRPr="00F61A56">
        <w:t>R1-1717761</w:t>
      </w:r>
      <w:r>
        <w:t xml:space="preserve">, </w:t>
      </w:r>
      <w:r w:rsidR="00D0399F" w:rsidRPr="00F61A56">
        <w:t>Additional synchronization provision</w:t>
      </w:r>
      <w:r w:rsidR="000B51AD" w:rsidRPr="00F61A56">
        <w:t>, Ericsson</w:t>
      </w:r>
      <w:r>
        <w:t xml:space="preserve">, </w:t>
      </w:r>
      <w:r>
        <w:t>RAN</w:t>
      </w:r>
      <w:r>
        <w:t>1 #90</w:t>
      </w:r>
      <w:r>
        <w:t>bis</w:t>
      </w:r>
      <w:r>
        <w:t xml:space="preserve">, </w:t>
      </w:r>
      <w:r>
        <w:t>Prague, Czech Republic, 9 – 13 October 2017</w:t>
      </w:r>
    </w:p>
    <w:p w14:paraId="6E1D7D9A" w14:textId="1306D6AF" w:rsidR="00F61A56" w:rsidRPr="001A1CB6" w:rsidRDefault="00F61A56" w:rsidP="00F61A56">
      <w:pPr>
        <w:rPr>
          <w:lang w:val="en-US"/>
        </w:rPr>
      </w:pPr>
      <w:r>
        <w:t>[2]</w:t>
      </w:r>
      <w:r>
        <w:tab/>
      </w:r>
      <w:r w:rsidRPr="001A1CB6">
        <w:rPr>
          <w:lang w:val="en-US"/>
        </w:rPr>
        <w:t>R1-1716150, Remain</w:t>
      </w:r>
      <w:r>
        <w:rPr>
          <w:lang w:val="en-US"/>
        </w:rPr>
        <w:t>ing</w:t>
      </w:r>
      <w:r w:rsidRPr="001A1CB6">
        <w:rPr>
          <w:lang w:val="en-US"/>
        </w:rPr>
        <w:t xml:space="preserve"> issues in NR-PBCH, </w:t>
      </w:r>
      <w:r>
        <w:rPr>
          <w:lang w:val="en-US"/>
        </w:rPr>
        <w:t xml:space="preserve">Ericsson, </w:t>
      </w:r>
      <w:r w:rsidRPr="001A1CB6">
        <w:rPr>
          <w:lang w:val="en-US"/>
        </w:rPr>
        <w:t>RAN1 NR Ad-Hoc#3, Nagoya, Japan, 18th – 21</w:t>
      </w:r>
      <w:r w:rsidRPr="001A1CB6">
        <w:rPr>
          <w:vertAlign w:val="superscript"/>
          <w:lang w:val="en-US"/>
        </w:rPr>
        <w:t>st</w:t>
      </w:r>
      <w:r w:rsidRPr="001A1CB6">
        <w:rPr>
          <w:lang w:val="en-US"/>
        </w:rPr>
        <w:t xml:space="preserve"> September 2017</w:t>
      </w:r>
    </w:p>
    <w:p w14:paraId="735989CB" w14:textId="1FBA5A54" w:rsidR="00F61A56" w:rsidRDefault="00F61A56" w:rsidP="00122010"/>
    <w:bookmarkEnd w:id="1"/>
    <w:p w14:paraId="107C74D5" w14:textId="77777777" w:rsidR="00122010" w:rsidRPr="00122010" w:rsidRDefault="00122010" w:rsidP="00122010"/>
    <w:sectPr w:rsidR="00122010" w:rsidRPr="00122010">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5CA38" w14:textId="77777777" w:rsidR="00936495" w:rsidRDefault="00936495">
      <w:r>
        <w:separator/>
      </w:r>
    </w:p>
  </w:endnote>
  <w:endnote w:type="continuationSeparator" w:id="0">
    <w:p w14:paraId="4EA90329" w14:textId="77777777" w:rsidR="00936495" w:rsidRDefault="00936495">
      <w:r>
        <w:continuationSeparator/>
      </w:r>
    </w:p>
  </w:endnote>
  <w:endnote w:type="continuationNotice" w:id="1">
    <w:p w14:paraId="098840A7" w14:textId="77777777" w:rsidR="00936495" w:rsidRDefault="00936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30273C8" w:rsidR="00936495" w:rsidRDefault="009364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1A5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1A5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742CA" w14:textId="77777777" w:rsidR="00936495" w:rsidRDefault="00936495">
      <w:r>
        <w:separator/>
      </w:r>
    </w:p>
  </w:footnote>
  <w:footnote w:type="continuationSeparator" w:id="0">
    <w:p w14:paraId="521F3659" w14:textId="77777777" w:rsidR="00936495" w:rsidRDefault="00936495">
      <w:r>
        <w:continuationSeparator/>
      </w:r>
    </w:p>
  </w:footnote>
  <w:footnote w:type="continuationNotice" w:id="1">
    <w:p w14:paraId="292CBC18" w14:textId="77777777" w:rsidR="00936495" w:rsidRDefault="00936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36495" w:rsidRDefault="0093649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936495" w:rsidRDefault="009364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F0127"/>
    <w:multiLevelType w:val="hybridMultilevel"/>
    <w:tmpl w:val="CE2AC71A"/>
    <w:lvl w:ilvl="0" w:tplc="9E66184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62489"/>
    <w:multiLevelType w:val="hybridMultilevel"/>
    <w:tmpl w:val="89D4FBB8"/>
    <w:lvl w:ilvl="0" w:tplc="8954FBE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num w:numId="1">
    <w:abstractNumId w:val="1"/>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13"/>
  </w:num>
  <w:num w:numId="10">
    <w:abstractNumId w:val="8"/>
  </w:num>
  <w:num w:numId="11">
    <w:abstractNumId w:val="16"/>
  </w:num>
  <w:num w:numId="12">
    <w:abstractNumId w:val="14"/>
  </w:num>
  <w:num w:numId="13">
    <w:abstractNumId w:val="2"/>
  </w:num>
  <w:num w:numId="14">
    <w:abstractNumId w:val="4"/>
  </w:num>
  <w:num w:numId="15">
    <w:abstractNumId w:val="17"/>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18"/>
  </w:num>
  <w:num w:numId="19">
    <w:abstractNumId w:val="5"/>
  </w:num>
  <w:num w:numId="20">
    <w:abstractNumId w:val="3"/>
  </w:num>
  <w:num w:numId="21">
    <w:abstractNumId w:val="13"/>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3A63"/>
    <w:rsid w:val="0002564D"/>
    <w:rsid w:val="00025ECA"/>
    <w:rsid w:val="00027939"/>
    <w:rsid w:val="00030849"/>
    <w:rsid w:val="00030D10"/>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1DD3"/>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1AD"/>
    <w:rsid w:val="000B58C3"/>
    <w:rsid w:val="000B61E9"/>
    <w:rsid w:val="000B6A2F"/>
    <w:rsid w:val="000C165A"/>
    <w:rsid w:val="000C28EB"/>
    <w:rsid w:val="000C2E19"/>
    <w:rsid w:val="000C4973"/>
    <w:rsid w:val="000D0D07"/>
    <w:rsid w:val="000D10C0"/>
    <w:rsid w:val="000D21B3"/>
    <w:rsid w:val="000D32F6"/>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01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28CE"/>
    <w:rsid w:val="00223FCB"/>
    <w:rsid w:val="002252C3"/>
    <w:rsid w:val="00225C54"/>
    <w:rsid w:val="00230765"/>
    <w:rsid w:val="002309A1"/>
    <w:rsid w:val="002319E4"/>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6214"/>
    <w:rsid w:val="00267C83"/>
    <w:rsid w:val="0027056F"/>
    <w:rsid w:val="0027144F"/>
    <w:rsid w:val="00271F3A"/>
    <w:rsid w:val="00273278"/>
    <w:rsid w:val="002737F4"/>
    <w:rsid w:val="002805F5"/>
    <w:rsid w:val="00280751"/>
    <w:rsid w:val="0028280A"/>
    <w:rsid w:val="00285757"/>
    <w:rsid w:val="00286ACD"/>
    <w:rsid w:val="00287838"/>
    <w:rsid w:val="00290771"/>
    <w:rsid w:val="002907B5"/>
    <w:rsid w:val="00291A75"/>
    <w:rsid w:val="00291DC7"/>
    <w:rsid w:val="00292EB7"/>
    <w:rsid w:val="00296227"/>
    <w:rsid w:val="00296F44"/>
    <w:rsid w:val="0029777D"/>
    <w:rsid w:val="002A055E"/>
    <w:rsid w:val="002A1D4E"/>
    <w:rsid w:val="002A2869"/>
    <w:rsid w:val="002B24D6"/>
    <w:rsid w:val="002C41E6"/>
    <w:rsid w:val="002C6458"/>
    <w:rsid w:val="002C717E"/>
    <w:rsid w:val="002D071A"/>
    <w:rsid w:val="002D232F"/>
    <w:rsid w:val="002D34B2"/>
    <w:rsid w:val="002D58A5"/>
    <w:rsid w:val="002D7637"/>
    <w:rsid w:val="002E17F2"/>
    <w:rsid w:val="002E7CAE"/>
    <w:rsid w:val="002F2771"/>
    <w:rsid w:val="002F37A9"/>
    <w:rsid w:val="00301CE6"/>
    <w:rsid w:val="0030256B"/>
    <w:rsid w:val="0030501F"/>
    <w:rsid w:val="0030656B"/>
    <w:rsid w:val="00307BA1"/>
    <w:rsid w:val="00307DC3"/>
    <w:rsid w:val="00311702"/>
    <w:rsid w:val="00311E82"/>
    <w:rsid w:val="00313FD6"/>
    <w:rsid w:val="003143BD"/>
    <w:rsid w:val="00316081"/>
    <w:rsid w:val="00317B01"/>
    <w:rsid w:val="003203ED"/>
    <w:rsid w:val="00322C9F"/>
    <w:rsid w:val="00323D6D"/>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532A"/>
    <w:rsid w:val="00357380"/>
    <w:rsid w:val="003602D9"/>
    <w:rsid w:val="003604CE"/>
    <w:rsid w:val="00360D47"/>
    <w:rsid w:val="00370E47"/>
    <w:rsid w:val="003742AC"/>
    <w:rsid w:val="00377CE1"/>
    <w:rsid w:val="00385771"/>
    <w:rsid w:val="00385BF0"/>
    <w:rsid w:val="003939FF"/>
    <w:rsid w:val="00393C44"/>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2478"/>
    <w:rsid w:val="003D2FC4"/>
    <w:rsid w:val="003D3C45"/>
    <w:rsid w:val="003D4D94"/>
    <w:rsid w:val="003D5B1F"/>
    <w:rsid w:val="003D6E11"/>
    <w:rsid w:val="003E15FA"/>
    <w:rsid w:val="003E2C96"/>
    <w:rsid w:val="003E4492"/>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144"/>
    <w:rsid w:val="00441A92"/>
    <w:rsid w:val="00444F56"/>
    <w:rsid w:val="00446488"/>
    <w:rsid w:val="004517AA"/>
    <w:rsid w:val="00452CAC"/>
    <w:rsid w:val="0045342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0228"/>
    <w:rsid w:val="004B7C0C"/>
    <w:rsid w:val="004C37D3"/>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238B"/>
    <w:rsid w:val="00546970"/>
    <w:rsid w:val="005518B8"/>
    <w:rsid w:val="00554E19"/>
    <w:rsid w:val="0056121F"/>
    <w:rsid w:val="00572505"/>
    <w:rsid w:val="00572E9A"/>
    <w:rsid w:val="0057696A"/>
    <w:rsid w:val="00580202"/>
    <w:rsid w:val="00582809"/>
    <w:rsid w:val="00584075"/>
    <w:rsid w:val="0058798C"/>
    <w:rsid w:val="005900FA"/>
    <w:rsid w:val="005935A4"/>
    <w:rsid w:val="005948C2"/>
    <w:rsid w:val="00595DCA"/>
    <w:rsid w:val="0059779B"/>
    <w:rsid w:val="005A12F1"/>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4F18"/>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1A16"/>
    <w:rsid w:val="00655733"/>
    <w:rsid w:val="00655ACD"/>
    <w:rsid w:val="00656A92"/>
    <w:rsid w:val="00656DDE"/>
    <w:rsid w:val="00657A69"/>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284"/>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7EE3"/>
    <w:rsid w:val="007004CB"/>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2BF5"/>
    <w:rsid w:val="0078304C"/>
    <w:rsid w:val="00783673"/>
    <w:rsid w:val="00785490"/>
    <w:rsid w:val="00787597"/>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2BD5"/>
    <w:rsid w:val="00803FAE"/>
    <w:rsid w:val="0080605F"/>
    <w:rsid w:val="00807786"/>
    <w:rsid w:val="00811FCB"/>
    <w:rsid w:val="008125D8"/>
    <w:rsid w:val="008150AD"/>
    <w:rsid w:val="00815589"/>
    <w:rsid w:val="008158D6"/>
    <w:rsid w:val="00816188"/>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1807"/>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24C5E"/>
    <w:rsid w:val="00931BD9"/>
    <w:rsid w:val="009331FF"/>
    <w:rsid w:val="00936495"/>
    <w:rsid w:val="009364EE"/>
    <w:rsid w:val="009368F3"/>
    <w:rsid w:val="00941636"/>
    <w:rsid w:val="00943742"/>
    <w:rsid w:val="00945C05"/>
    <w:rsid w:val="00946945"/>
    <w:rsid w:val="00947713"/>
    <w:rsid w:val="00950DE7"/>
    <w:rsid w:val="00953920"/>
    <w:rsid w:val="00953D47"/>
    <w:rsid w:val="00954ED6"/>
    <w:rsid w:val="0095681E"/>
    <w:rsid w:val="009572D4"/>
    <w:rsid w:val="00961921"/>
    <w:rsid w:val="0096430A"/>
    <w:rsid w:val="0096554B"/>
    <w:rsid w:val="0096584A"/>
    <w:rsid w:val="00970EC3"/>
    <w:rsid w:val="009713BD"/>
    <w:rsid w:val="00971F08"/>
    <w:rsid w:val="0097603D"/>
    <w:rsid w:val="00976949"/>
    <w:rsid w:val="00980477"/>
    <w:rsid w:val="009842C9"/>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5ABF"/>
    <w:rsid w:val="009B7E87"/>
    <w:rsid w:val="009C403E"/>
    <w:rsid w:val="009D4FF0"/>
    <w:rsid w:val="009D57B2"/>
    <w:rsid w:val="009D703C"/>
    <w:rsid w:val="009D718F"/>
    <w:rsid w:val="009E068F"/>
    <w:rsid w:val="009E14E0"/>
    <w:rsid w:val="009E35DB"/>
    <w:rsid w:val="009E3E07"/>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264C"/>
    <w:rsid w:val="00A3448A"/>
    <w:rsid w:val="00A36297"/>
    <w:rsid w:val="00A368BA"/>
    <w:rsid w:val="00A375B3"/>
    <w:rsid w:val="00A41E2B"/>
    <w:rsid w:val="00A45B74"/>
    <w:rsid w:val="00A52E1D"/>
    <w:rsid w:val="00A552AB"/>
    <w:rsid w:val="00A555C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AE2"/>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4995"/>
    <w:rsid w:val="00C54D41"/>
    <w:rsid w:val="00C60783"/>
    <w:rsid w:val="00C6333D"/>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239E"/>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399F"/>
    <w:rsid w:val="00D04434"/>
    <w:rsid w:val="00D06E22"/>
    <w:rsid w:val="00D10249"/>
    <w:rsid w:val="00D115C3"/>
    <w:rsid w:val="00D11897"/>
    <w:rsid w:val="00D13135"/>
    <w:rsid w:val="00D13E4E"/>
    <w:rsid w:val="00D159CF"/>
    <w:rsid w:val="00D214EC"/>
    <w:rsid w:val="00D239A7"/>
    <w:rsid w:val="00D23F47"/>
    <w:rsid w:val="00D27DB6"/>
    <w:rsid w:val="00D3005B"/>
    <w:rsid w:val="00D34CDD"/>
    <w:rsid w:val="00D36E71"/>
    <w:rsid w:val="00D37D87"/>
    <w:rsid w:val="00D404EA"/>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E00520"/>
    <w:rsid w:val="00E110E7"/>
    <w:rsid w:val="00E11615"/>
    <w:rsid w:val="00E11B20"/>
    <w:rsid w:val="00E17FA2"/>
    <w:rsid w:val="00E21344"/>
    <w:rsid w:val="00E22330"/>
    <w:rsid w:val="00E27579"/>
    <w:rsid w:val="00E30B5A"/>
    <w:rsid w:val="00E30FA7"/>
    <w:rsid w:val="00E3123D"/>
    <w:rsid w:val="00E31461"/>
    <w:rsid w:val="00E31D43"/>
    <w:rsid w:val="00E32608"/>
    <w:rsid w:val="00E34188"/>
    <w:rsid w:val="00E345CD"/>
    <w:rsid w:val="00E34B6E"/>
    <w:rsid w:val="00E35559"/>
    <w:rsid w:val="00E3723A"/>
    <w:rsid w:val="00E37860"/>
    <w:rsid w:val="00E446F1"/>
    <w:rsid w:val="00E461B7"/>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3A70"/>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1A56"/>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8704C"/>
    <w:rsid w:val="00F9056A"/>
    <w:rsid w:val="00F90F8D"/>
    <w:rsid w:val="00F92740"/>
    <w:rsid w:val="00F92782"/>
    <w:rsid w:val="00F93AA9"/>
    <w:rsid w:val="00F96985"/>
    <w:rsid w:val="00F97838"/>
    <w:rsid w:val="00FA2AA2"/>
    <w:rsid w:val="00FA2BB3"/>
    <w:rsid w:val="00FB2D39"/>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CB9BCAB2-29CA-448F-A9E7-9A8DD2CA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link w:val="DocumentMapChar"/>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uiPriority w:val="99"/>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link w:val="CommentSubjectChar"/>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 w:type="character" w:customStyle="1" w:styleId="Heading2Char">
    <w:name w:val="Heading 2 Char"/>
    <w:basedOn w:val="DefaultParagraphFont"/>
    <w:link w:val="Heading2"/>
    <w:rsid w:val="00316081"/>
    <w:rPr>
      <w:rFonts w:ascii="Arial" w:hAnsi="Arial" w:cs="Arial"/>
      <w:sz w:val="32"/>
      <w:szCs w:val="32"/>
      <w:lang w:val="en-GB"/>
    </w:rPr>
  </w:style>
  <w:style w:type="character" w:customStyle="1" w:styleId="Heading5Char">
    <w:name w:val="Heading 5 Char"/>
    <w:basedOn w:val="DefaultParagraphFont"/>
    <w:link w:val="Heading5"/>
    <w:rsid w:val="00316081"/>
    <w:rPr>
      <w:rFonts w:ascii="Arial" w:hAnsi="Arial" w:cs="Arial"/>
      <w:sz w:val="22"/>
      <w:szCs w:val="22"/>
      <w:lang w:val="en-GB"/>
    </w:rPr>
  </w:style>
  <w:style w:type="character" w:customStyle="1" w:styleId="Heading6Char">
    <w:name w:val="Heading 6 Char"/>
    <w:basedOn w:val="DefaultParagraphFont"/>
    <w:link w:val="Heading6"/>
    <w:rsid w:val="00316081"/>
    <w:rPr>
      <w:rFonts w:ascii="Arial" w:hAnsi="Arial" w:cs="Arial"/>
      <w:lang w:val="en-GB"/>
    </w:rPr>
  </w:style>
  <w:style w:type="character" w:customStyle="1" w:styleId="Heading7Char">
    <w:name w:val="Heading 7 Char"/>
    <w:basedOn w:val="DefaultParagraphFont"/>
    <w:link w:val="Heading7"/>
    <w:rsid w:val="00316081"/>
    <w:rPr>
      <w:rFonts w:ascii="Arial" w:hAnsi="Arial" w:cs="Arial"/>
      <w:lang w:val="en-GB"/>
    </w:rPr>
  </w:style>
  <w:style w:type="character" w:customStyle="1" w:styleId="Heading8Char">
    <w:name w:val="Heading 8 Char"/>
    <w:basedOn w:val="DefaultParagraphFont"/>
    <w:link w:val="Heading8"/>
    <w:rsid w:val="00316081"/>
    <w:rPr>
      <w:rFonts w:ascii="Arial" w:hAnsi="Arial" w:cs="Arial"/>
      <w:lang w:val="en-GB"/>
    </w:rPr>
  </w:style>
  <w:style w:type="paragraph" w:customStyle="1" w:styleId="msonormal0">
    <w:name w:val="msonormal"/>
    <w:basedOn w:val="Normal"/>
    <w:rsid w:val="0031608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FootnoteTextChar">
    <w:name w:val="Footnote Text Char"/>
    <w:basedOn w:val="DefaultParagraphFont"/>
    <w:link w:val="FootnoteText"/>
    <w:semiHidden/>
    <w:rsid w:val="00316081"/>
    <w:rPr>
      <w:rFonts w:ascii="Arial" w:hAnsi="Arial"/>
      <w:sz w:val="16"/>
      <w:szCs w:val="16"/>
      <w:lang w:val="en-GB"/>
    </w:rPr>
  </w:style>
  <w:style w:type="character" w:customStyle="1" w:styleId="HeaderChar">
    <w:name w:val="Header Char"/>
    <w:basedOn w:val="DefaultParagraphFont"/>
    <w:link w:val="Header"/>
    <w:rsid w:val="00316081"/>
    <w:rPr>
      <w:rFonts w:ascii="Arial" w:hAnsi="Arial" w:cs="Arial"/>
      <w:b/>
      <w:bCs/>
      <w:noProof/>
      <w:sz w:val="18"/>
      <w:szCs w:val="18"/>
    </w:rPr>
  </w:style>
  <w:style w:type="character" w:customStyle="1" w:styleId="FooterChar">
    <w:name w:val="Footer Char"/>
    <w:basedOn w:val="DefaultParagraphFont"/>
    <w:link w:val="Footer"/>
    <w:rsid w:val="00316081"/>
    <w:rPr>
      <w:rFonts w:ascii="Arial" w:hAnsi="Arial" w:cs="Arial"/>
      <w:b/>
      <w:bCs/>
      <w:i/>
      <w:iCs/>
      <w:noProof/>
      <w:sz w:val="18"/>
      <w:szCs w:val="18"/>
    </w:rPr>
  </w:style>
  <w:style w:type="character" w:customStyle="1" w:styleId="DocumentMapChar">
    <w:name w:val="Document Map Char"/>
    <w:basedOn w:val="DefaultParagraphFont"/>
    <w:link w:val="DocumentMap"/>
    <w:semiHidden/>
    <w:rsid w:val="00316081"/>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316081"/>
    <w:rPr>
      <w:rFonts w:ascii="Arial" w:hAnsi="Arial"/>
      <w:b/>
      <w:bCs/>
      <w:lang w:val="en-GB"/>
    </w:rPr>
  </w:style>
  <w:style w:type="character" w:customStyle="1" w:styleId="BalloonTextChar">
    <w:name w:val="Balloon Text Char"/>
    <w:basedOn w:val="DefaultParagraphFont"/>
    <w:link w:val="BalloonText"/>
    <w:semiHidden/>
    <w:rsid w:val="00316081"/>
    <w:rPr>
      <w:rFonts w:ascii="Tahoma" w:hAnsi="Tahoma" w:cs="Tahoma"/>
      <w:sz w:val="16"/>
      <w:szCs w:val="16"/>
      <w:lang w:val="en-GB"/>
    </w:rPr>
  </w:style>
  <w:style w:type="paragraph" w:customStyle="1" w:styleId="RecCCITT">
    <w:name w:val="Rec_CCITT_#"/>
    <w:basedOn w:val="Normal"/>
    <w:rsid w:val="00316081"/>
    <w:pPr>
      <w:keepNext/>
      <w:keepLines/>
      <w:spacing w:after="180"/>
      <w:jc w:val="left"/>
      <w:textAlignment w:val="auto"/>
    </w:pPr>
    <w:rPr>
      <w:rFonts w:ascii="Times New Roman" w:hAnsi="Times New Roman"/>
      <w:b/>
      <w:lang w:eastAsia="en-GB"/>
    </w:rPr>
  </w:style>
  <w:style w:type="character" w:customStyle="1" w:styleId="TFZchn">
    <w:name w:val="TF Zchn"/>
    <w:rsid w:val="00316081"/>
    <w:rPr>
      <w:rFonts w:ascii="Arial" w:hAnsi="Arial" w:cs="Arial" w:hint="default"/>
      <w:b/>
      <w:bCs w:val="0"/>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0399F"/>
    <w:rPr>
      <w:rFonts w:ascii="Arial" w:hAnsi="Arial"/>
      <w:b/>
      <w:bCs/>
      <w:lang w:val="en-GB"/>
    </w:rPr>
  </w:style>
  <w:style w:type="paragraph" w:customStyle="1" w:styleId="IvDbodytext">
    <w:name w:val="IvD bodytext"/>
    <w:basedOn w:val="BodyText"/>
    <w:link w:val="IvDbodytextChar"/>
    <w:rsid w:val="00D0399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D0399F"/>
    <w:rPr>
      <w:rFonts w:ascii="Arial" w:hAnsi="Arial"/>
      <w:spacing w:val="2"/>
      <w:lang w:val="en-GB"/>
    </w:rPr>
  </w:style>
  <w:style w:type="character" w:customStyle="1" w:styleId="ReferenceChar">
    <w:name w:val="Reference Char"/>
    <w:link w:val="Reference"/>
    <w:rsid w:val="00F61A5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41943">
      <w:bodyDiv w:val="1"/>
      <w:marLeft w:val="0"/>
      <w:marRight w:val="0"/>
      <w:marTop w:val="0"/>
      <w:marBottom w:val="0"/>
      <w:divBdr>
        <w:top w:val="none" w:sz="0" w:space="0" w:color="auto"/>
        <w:left w:val="none" w:sz="0" w:space="0" w:color="auto"/>
        <w:bottom w:val="none" w:sz="0" w:space="0" w:color="auto"/>
        <w:right w:val="none" w:sz="0" w:space="0" w:color="auto"/>
      </w:divBdr>
    </w:div>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21532486">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71277020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03176126">
      <w:bodyDiv w:val="1"/>
      <w:marLeft w:val="0"/>
      <w:marRight w:val="0"/>
      <w:marTop w:val="0"/>
      <w:marBottom w:val="0"/>
      <w:divBdr>
        <w:top w:val="none" w:sz="0" w:space="0" w:color="auto"/>
        <w:left w:val="none" w:sz="0" w:space="0" w:color="auto"/>
        <w:bottom w:val="none" w:sz="0" w:space="0" w:color="auto"/>
        <w:right w:val="none" w:sz="0" w:space="0" w:color="auto"/>
      </w:divBdr>
    </w:div>
    <w:div w:id="18377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5NUHHDQN7SK2-1-182928</_dlc_DocId>
    <_dlc_DocIdUrl xmlns="08b2df90-05d3-4030-90d4-c9feeb4a1cd9">
      <Url>https://ericoll.internal.ericsson.com/sites/star/_layouts/DocIdRedir.aspx?ID=5NUHHDQN7SK2-1-182928</Url>
      <Description>5NUHHDQN7SK2-1-182928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file>

<file path=customXml/itemProps2.xml><?xml version="1.0" encoding="utf-8"?>
<ds:datastoreItem xmlns:ds="http://schemas.openxmlformats.org/officeDocument/2006/customXml" ds:itemID="{BD35875F-D3D3-4E2C-A724-E963E51FA1FB}"/>
</file>

<file path=customXml/itemProps3.xml><?xml version="1.0" encoding="utf-8"?>
<ds:datastoreItem xmlns:ds="http://schemas.openxmlformats.org/officeDocument/2006/customXml" ds:itemID="{F3A45EBD-B69B-4295-ABEF-9A3F985936B7}"/>
</file>

<file path=customXml/itemProps4.xml><?xml version="1.0" encoding="utf-8"?>
<ds:datastoreItem xmlns:ds="http://schemas.openxmlformats.org/officeDocument/2006/customXml" ds:itemID="{A3DE9CDF-A3FB-4158-8710-2121026583C8}"/>
</file>

<file path=customXml/itemProps5.xml><?xml version="1.0" encoding="utf-8"?>
<ds:datastoreItem xmlns:ds="http://schemas.openxmlformats.org/officeDocument/2006/customXml" ds:itemID="{EC5BD4F2-5FF9-4F53-A0EE-D4E25420298B}"/>
</file>

<file path=customXml/itemProps6.xml><?xml version="1.0" encoding="utf-8"?>
<ds:datastoreItem xmlns:ds="http://schemas.openxmlformats.org/officeDocument/2006/customXml" ds:itemID="{D85BB1CE-B38B-435D-B96E-14489AE1A45A}"/>
</file>

<file path=docProps/app.xml><?xml version="1.0" encoding="utf-8"?>
<Properties xmlns="http://schemas.openxmlformats.org/officeDocument/2006/extended-properties" xmlns:vt="http://schemas.openxmlformats.org/officeDocument/2006/docPropsVTypes">
  <Template>R2-16xxxx - Contribution Template.dot</Template>
  <TotalTime>81</TotalTime>
  <Pages>4</Pages>
  <Words>1236</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Andres Reial</cp:lastModifiedBy>
  <cp:revision>6</cp:revision>
  <cp:lastPrinted>2008-01-31T06:09:00Z</cp:lastPrinted>
  <dcterms:created xsi:type="dcterms:W3CDTF">2017-09-28T10:34:00Z</dcterms:created>
  <dcterms:modified xsi:type="dcterms:W3CDTF">2017-09-28T20:49:00Z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129b8119-dd94-465f-b1fc-b04a344b8916</vt:lpwstr>
  </property>
</Properties>
</file>